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14" w:rsidRPr="00F03DAD" w:rsidRDefault="00474214" w:rsidP="00C76AA0">
      <w:pPr>
        <w:spacing w:line="240" w:lineRule="auto"/>
        <w:jc w:val="center"/>
        <w:rPr>
          <w:rFonts w:ascii="Calibri" w:hAnsi="Calibri" w:cs="Calibri"/>
          <w:b/>
          <w:sz w:val="22"/>
          <w:szCs w:val="22"/>
        </w:rPr>
      </w:pPr>
      <w:r w:rsidRPr="00F03DAD">
        <w:rPr>
          <w:rFonts w:ascii="Calibri" w:hAnsi="Calibri" w:cs="Calibri"/>
          <w:b/>
          <w:sz w:val="22"/>
          <w:szCs w:val="22"/>
        </w:rPr>
        <w:t xml:space="preserve">Concept Note </w:t>
      </w:r>
      <w:r>
        <w:rPr>
          <w:rFonts w:ascii="Calibri" w:hAnsi="Calibri" w:cs="Calibri"/>
          <w:b/>
          <w:sz w:val="22"/>
          <w:szCs w:val="22"/>
        </w:rPr>
        <w:br/>
      </w:r>
      <w:r w:rsidRPr="00F03DAD">
        <w:rPr>
          <w:rFonts w:ascii="Calibri" w:hAnsi="Calibri" w:cs="Calibri"/>
          <w:b/>
          <w:sz w:val="22"/>
          <w:szCs w:val="22"/>
        </w:rPr>
        <w:t>Establishment of the Working Group on</w:t>
      </w:r>
      <w:r w:rsidRPr="00F03DAD">
        <w:rPr>
          <w:rFonts w:ascii="Calibri" w:hAnsi="Calibri" w:cs="Calibri"/>
          <w:b/>
          <w:sz w:val="22"/>
          <w:szCs w:val="22"/>
        </w:rPr>
        <w:br/>
        <w:t>Common Criteria for achieving definitions and typologies on Family Farming</w:t>
      </w:r>
      <w:r w:rsidRPr="00F03DAD">
        <w:rPr>
          <w:rFonts w:ascii="Calibri" w:hAnsi="Calibri" w:cs="Calibri"/>
          <w:b/>
          <w:sz w:val="22"/>
          <w:szCs w:val="22"/>
        </w:rPr>
        <w:br/>
      </w:r>
    </w:p>
    <w:p w:rsidR="00474214" w:rsidRPr="00F03DAD" w:rsidRDefault="00474214" w:rsidP="00326E42">
      <w:pPr>
        <w:rPr>
          <w:rFonts w:ascii="Calibri" w:hAnsi="Calibri" w:cs="Calibri"/>
          <w:b/>
          <w:sz w:val="22"/>
          <w:szCs w:val="22"/>
          <w:u w:val="single"/>
        </w:rPr>
      </w:pPr>
      <w:r w:rsidRPr="00F03DAD">
        <w:rPr>
          <w:rFonts w:ascii="Calibri" w:hAnsi="Calibri" w:cs="Calibri"/>
          <w:b/>
          <w:sz w:val="22"/>
          <w:szCs w:val="22"/>
          <w:u w:val="single"/>
        </w:rPr>
        <w:t>Background/Rationale for the Working Group:</w:t>
      </w:r>
    </w:p>
    <w:p w:rsidR="00474214" w:rsidRDefault="00474214" w:rsidP="003A044F">
      <w:pPr>
        <w:jc w:val="both"/>
        <w:rPr>
          <w:rFonts w:ascii="Calibri" w:hAnsi="Calibri" w:cs="Calibri"/>
          <w:sz w:val="22"/>
          <w:szCs w:val="22"/>
        </w:rPr>
      </w:pPr>
      <w:r w:rsidRPr="00F03DAD">
        <w:rPr>
          <w:rFonts w:ascii="Calibri" w:hAnsi="Calibri" w:cs="Calibri"/>
          <w:sz w:val="22"/>
          <w:szCs w:val="22"/>
        </w:rPr>
        <w:t xml:space="preserve">The Regional Dialogues Outcome Reports of the IYFF stressed the demand for better understanding of the dominant characteristics and </w:t>
      </w:r>
      <w:r>
        <w:rPr>
          <w:rFonts w:ascii="Calibri" w:hAnsi="Calibri" w:cs="Calibri"/>
          <w:sz w:val="22"/>
          <w:szCs w:val="22"/>
        </w:rPr>
        <w:t>diversity</w:t>
      </w:r>
      <w:r w:rsidRPr="00F03DAD">
        <w:rPr>
          <w:rFonts w:ascii="Calibri" w:hAnsi="Calibri" w:cs="Calibri"/>
          <w:sz w:val="22"/>
          <w:szCs w:val="22"/>
        </w:rPr>
        <w:t xml:space="preserve"> of family farming in the current context of agricultural transformation. Furthermore, participants pointed out that effective family farming-</w:t>
      </w:r>
      <w:r>
        <w:rPr>
          <w:rFonts w:ascii="Calibri" w:hAnsi="Calibri" w:cs="Calibri"/>
          <w:sz w:val="22"/>
          <w:szCs w:val="22"/>
        </w:rPr>
        <w:t>targeted</w:t>
      </w:r>
      <w:r w:rsidRPr="00F03DAD">
        <w:rPr>
          <w:rFonts w:ascii="Calibri" w:hAnsi="Calibri" w:cs="Calibri"/>
          <w:sz w:val="22"/>
          <w:szCs w:val="22"/>
        </w:rPr>
        <w:t xml:space="preserve"> policy making has been hindered by the lack of adequate definition</w:t>
      </w:r>
      <w:r>
        <w:rPr>
          <w:rFonts w:ascii="Calibri" w:hAnsi="Calibri" w:cs="Calibri"/>
          <w:sz w:val="22"/>
          <w:szCs w:val="22"/>
        </w:rPr>
        <w:t>s</w:t>
      </w:r>
      <w:r w:rsidRPr="00F03DAD">
        <w:rPr>
          <w:rFonts w:ascii="Calibri" w:hAnsi="Calibri" w:cs="Calibri"/>
          <w:sz w:val="22"/>
          <w:szCs w:val="22"/>
        </w:rPr>
        <w:t xml:space="preserve"> </w:t>
      </w:r>
      <w:r>
        <w:rPr>
          <w:rFonts w:ascii="Calibri" w:hAnsi="Calibri" w:cs="Calibri"/>
          <w:sz w:val="22"/>
          <w:szCs w:val="22"/>
        </w:rPr>
        <w:t xml:space="preserve">and characterization </w:t>
      </w:r>
      <w:r w:rsidRPr="00F03DAD">
        <w:rPr>
          <w:rFonts w:ascii="Calibri" w:hAnsi="Calibri" w:cs="Calibri"/>
          <w:sz w:val="22"/>
          <w:szCs w:val="22"/>
        </w:rPr>
        <w:t xml:space="preserve">at national and </w:t>
      </w:r>
      <w:r>
        <w:rPr>
          <w:rFonts w:ascii="Calibri" w:hAnsi="Calibri" w:cs="Calibri"/>
          <w:sz w:val="22"/>
          <w:szCs w:val="22"/>
        </w:rPr>
        <w:t>regional level</w:t>
      </w:r>
      <w:r w:rsidRPr="00F03DAD">
        <w:rPr>
          <w:rFonts w:ascii="Calibri" w:hAnsi="Calibri" w:cs="Calibri"/>
          <w:sz w:val="22"/>
          <w:szCs w:val="22"/>
        </w:rPr>
        <w:t xml:space="preserve"> </w:t>
      </w:r>
      <w:r>
        <w:rPr>
          <w:rFonts w:ascii="Calibri" w:hAnsi="Calibri" w:cs="Calibri"/>
          <w:sz w:val="22"/>
          <w:szCs w:val="22"/>
        </w:rPr>
        <w:t>and</w:t>
      </w:r>
      <w:r w:rsidRPr="00F03DAD">
        <w:rPr>
          <w:rFonts w:ascii="Calibri" w:hAnsi="Calibri" w:cs="Calibri"/>
          <w:sz w:val="22"/>
          <w:szCs w:val="22"/>
        </w:rPr>
        <w:t xml:space="preserve"> </w:t>
      </w:r>
      <w:r>
        <w:rPr>
          <w:rFonts w:ascii="Calibri" w:hAnsi="Calibri" w:cs="Calibri"/>
          <w:sz w:val="22"/>
          <w:szCs w:val="22"/>
        </w:rPr>
        <w:t>limited</w:t>
      </w:r>
      <w:r w:rsidRPr="00F03DAD">
        <w:rPr>
          <w:rFonts w:ascii="Calibri" w:hAnsi="Calibri" w:cs="Calibri"/>
          <w:sz w:val="22"/>
          <w:szCs w:val="22"/>
        </w:rPr>
        <w:t xml:space="preserve"> statistical data</w:t>
      </w:r>
      <w:r>
        <w:rPr>
          <w:rFonts w:ascii="Calibri" w:hAnsi="Calibri" w:cs="Calibri"/>
          <w:sz w:val="22"/>
          <w:szCs w:val="22"/>
        </w:rPr>
        <w:t xml:space="preserve"> at hold</w:t>
      </w:r>
      <w:bookmarkStart w:id="0" w:name="_GoBack"/>
      <w:bookmarkEnd w:id="0"/>
      <w:r>
        <w:rPr>
          <w:rFonts w:ascii="Calibri" w:hAnsi="Calibri" w:cs="Calibri"/>
          <w:sz w:val="22"/>
          <w:szCs w:val="22"/>
        </w:rPr>
        <w:t xml:space="preserve">ing level, resulting in identifying family farms as the smaller holdings based on use </w:t>
      </w:r>
      <w:r w:rsidRPr="00F03DAD">
        <w:rPr>
          <w:rFonts w:ascii="Calibri" w:hAnsi="Calibri" w:cs="Calibri"/>
          <w:sz w:val="22"/>
          <w:szCs w:val="22"/>
        </w:rPr>
        <w:t>of land size thresholds</w:t>
      </w:r>
      <w:r>
        <w:rPr>
          <w:rFonts w:ascii="Calibri" w:hAnsi="Calibri" w:cs="Calibri"/>
          <w:sz w:val="22"/>
          <w:szCs w:val="22"/>
        </w:rPr>
        <w:t>,</w:t>
      </w:r>
      <w:r w:rsidRPr="00F03DAD">
        <w:rPr>
          <w:rFonts w:ascii="Calibri" w:hAnsi="Calibri" w:cs="Calibri"/>
          <w:sz w:val="22"/>
          <w:szCs w:val="22"/>
        </w:rPr>
        <w:t xml:space="preserve"> </w:t>
      </w:r>
      <w:r>
        <w:rPr>
          <w:rFonts w:ascii="Calibri" w:hAnsi="Calibri" w:cs="Calibri"/>
          <w:sz w:val="22"/>
          <w:szCs w:val="22"/>
        </w:rPr>
        <w:t xml:space="preserve">as available </w:t>
      </w:r>
      <w:r w:rsidRPr="00F03DAD">
        <w:rPr>
          <w:rFonts w:ascii="Calibri" w:hAnsi="Calibri" w:cs="Calibri"/>
          <w:sz w:val="22"/>
          <w:szCs w:val="22"/>
        </w:rPr>
        <w:t>in many agricultural census</w:t>
      </w:r>
      <w:r>
        <w:rPr>
          <w:rFonts w:ascii="Calibri" w:hAnsi="Calibri" w:cs="Calibri"/>
          <w:sz w:val="22"/>
          <w:szCs w:val="22"/>
        </w:rPr>
        <w:t xml:space="preserve">es. </w:t>
      </w:r>
      <w:r w:rsidRPr="00F03DAD">
        <w:rPr>
          <w:rFonts w:ascii="Calibri" w:hAnsi="Calibri" w:cs="Calibri"/>
          <w:sz w:val="22"/>
          <w:szCs w:val="22"/>
        </w:rPr>
        <w:t xml:space="preserve"> </w:t>
      </w:r>
    </w:p>
    <w:p w:rsidR="00474214" w:rsidRPr="00F03DAD" w:rsidRDefault="00474214" w:rsidP="00AE10C9">
      <w:pPr>
        <w:jc w:val="both"/>
        <w:rPr>
          <w:rFonts w:ascii="Calibri" w:hAnsi="Calibri" w:cs="Calibri"/>
          <w:sz w:val="22"/>
          <w:szCs w:val="22"/>
        </w:rPr>
      </w:pPr>
      <w:r>
        <w:rPr>
          <w:rFonts w:ascii="Calibri" w:hAnsi="Calibri" w:cs="Calibri"/>
          <w:sz w:val="22"/>
          <w:szCs w:val="22"/>
        </w:rPr>
        <w:t>M</w:t>
      </w:r>
      <w:r w:rsidRPr="00F03DAD">
        <w:rPr>
          <w:rFonts w:ascii="Calibri" w:hAnsi="Calibri" w:cs="Calibri"/>
          <w:sz w:val="22"/>
          <w:szCs w:val="22"/>
        </w:rPr>
        <w:t>ajor concern</w:t>
      </w:r>
      <w:r>
        <w:rPr>
          <w:rFonts w:ascii="Calibri" w:hAnsi="Calibri" w:cs="Calibri"/>
          <w:sz w:val="22"/>
          <w:szCs w:val="22"/>
        </w:rPr>
        <w:t xml:space="preserve">s include both </w:t>
      </w:r>
      <w:r w:rsidRPr="00F03DAD">
        <w:rPr>
          <w:rFonts w:ascii="Calibri" w:hAnsi="Calibri" w:cs="Calibri"/>
          <w:sz w:val="22"/>
          <w:szCs w:val="22"/>
        </w:rPr>
        <w:t>the ‘invisibility’ of women’s participation in agricultural activities, income and tenure/</w:t>
      </w:r>
      <w:r>
        <w:rPr>
          <w:rFonts w:ascii="Calibri" w:hAnsi="Calibri" w:cs="Calibri"/>
          <w:sz w:val="22"/>
          <w:szCs w:val="22"/>
        </w:rPr>
        <w:t>property and</w:t>
      </w:r>
      <w:r w:rsidRPr="00F03DAD">
        <w:rPr>
          <w:rFonts w:ascii="Calibri" w:hAnsi="Calibri" w:cs="Calibri"/>
          <w:sz w:val="22"/>
          <w:szCs w:val="22"/>
        </w:rPr>
        <w:t xml:space="preserve"> the lack of common criteria to set the amount of non-family labour </w:t>
      </w:r>
      <w:r>
        <w:rPr>
          <w:rFonts w:ascii="Calibri" w:hAnsi="Calibri" w:cs="Calibri"/>
          <w:sz w:val="22"/>
          <w:szCs w:val="22"/>
        </w:rPr>
        <w:t xml:space="preserve">used for </w:t>
      </w:r>
      <w:r w:rsidRPr="00F03DAD">
        <w:rPr>
          <w:rFonts w:ascii="Calibri" w:hAnsi="Calibri" w:cs="Calibri"/>
          <w:sz w:val="22"/>
          <w:szCs w:val="22"/>
        </w:rPr>
        <w:t>farm</w:t>
      </w:r>
      <w:r>
        <w:rPr>
          <w:rFonts w:ascii="Calibri" w:hAnsi="Calibri" w:cs="Calibri"/>
          <w:sz w:val="22"/>
          <w:szCs w:val="22"/>
        </w:rPr>
        <w:t>s and more broadly how to adequately capture the commonalities and diversities of family farms</w:t>
      </w:r>
      <w:r w:rsidRPr="00AE10C9">
        <w:rPr>
          <w:rFonts w:ascii="Calibri" w:hAnsi="Calibri" w:cs="Calibri"/>
          <w:sz w:val="22"/>
          <w:szCs w:val="22"/>
        </w:rPr>
        <w:t xml:space="preserve"> </w:t>
      </w:r>
      <w:r>
        <w:rPr>
          <w:rFonts w:ascii="Calibri" w:hAnsi="Calibri" w:cs="Calibri"/>
          <w:sz w:val="22"/>
          <w:szCs w:val="22"/>
        </w:rPr>
        <w:t>operating</w:t>
      </w:r>
      <w:r w:rsidRPr="00F03DAD">
        <w:rPr>
          <w:rFonts w:ascii="Calibri" w:hAnsi="Calibri" w:cs="Calibri"/>
          <w:sz w:val="22"/>
          <w:szCs w:val="22"/>
        </w:rPr>
        <w:t xml:space="preserve"> </w:t>
      </w:r>
      <w:r>
        <w:rPr>
          <w:rFonts w:ascii="Calibri" w:hAnsi="Calibri" w:cs="Calibri"/>
          <w:sz w:val="22"/>
          <w:szCs w:val="22"/>
        </w:rPr>
        <w:t xml:space="preserve">in various </w:t>
      </w:r>
      <w:r w:rsidRPr="00F03DAD">
        <w:rPr>
          <w:rFonts w:ascii="Calibri" w:hAnsi="Calibri" w:cs="Calibri"/>
          <w:sz w:val="22"/>
          <w:szCs w:val="22"/>
        </w:rPr>
        <w:t xml:space="preserve">agro-ecological </w:t>
      </w:r>
      <w:r>
        <w:rPr>
          <w:rFonts w:ascii="Calibri" w:hAnsi="Calibri" w:cs="Calibri"/>
          <w:sz w:val="22"/>
          <w:szCs w:val="22"/>
        </w:rPr>
        <w:t>regions and social, economic and cultural contexts, as well as their diversity vis-à-vis patronal and corporate farms.</w:t>
      </w:r>
    </w:p>
    <w:p w:rsidR="00474214" w:rsidRPr="00F03DAD" w:rsidRDefault="00474214" w:rsidP="003A044F">
      <w:pPr>
        <w:jc w:val="both"/>
        <w:rPr>
          <w:rFonts w:ascii="Calibri" w:hAnsi="Calibri" w:cs="Calibri"/>
          <w:sz w:val="22"/>
          <w:szCs w:val="22"/>
        </w:rPr>
      </w:pPr>
      <w:r w:rsidRPr="00F03DAD">
        <w:rPr>
          <w:rFonts w:ascii="Calibri" w:hAnsi="Calibri" w:cs="Calibri"/>
          <w:sz w:val="22"/>
          <w:szCs w:val="22"/>
        </w:rPr>
        <w:t xml:space="preserve">The definition proposed in the IYFF Master Plan has proven valid </w:t>
      </w:r>
      <w:r>
        <w:rPr>
          <w:rFonts w:ascii="Calibri" w:hAnsi="Calibri" w:cs="Calibri"/>
          <w:sz w:val="22"/>
          <w:szCs w:val="22"/>
        </w:rPr>
        <w:t>as a starting point for</w:t>
      </w:r>
      <w:r w:rsidRPr="00F03DAD">
        <w:rPr>
          <w:rFonts w:ascii="Calibri" w:hAnsi="Calibri" w:cs="Calibri"/>
          <w:sz w:val="22"/>
          <w:szCs w:val="22"/>
        </w:rPr>
        <w:t xml:space="preserve"> facilitating </w:t>
      </w:r>
      <w:r>
        <w:rPr>
          <w:rFonts w:ascii="Calibri" w:hAnsi="Calibri" w:cs="Calibri"/>
          <w:sz w:val="22"/>
          <w:szCs w:val="22"/>
        </w:rPr>
        <w:t>policy dialogue so far</w:t>
      </w:r>
      <w:r w:rsidRPr="00F03DAD">
        <w:rPr>
          <w:rFonts w:ascii="Calibri" w:hAnsi="Calibri" w:cs="Calibri"/>
          <w:sz w:val="22"/>
          <w:szCs w:val="22"/>
        </w:rPr>
        <w:t xml:space="preserve">. </w:t>
      </w:r>
      <w:r>
        <w:rPr>
          <w:rFonts w:ascii="Calibri" w:hAnsi="Calibri" w:cs="Calibri"/>
          <w:sz w:val="22"/>
          <w:szCs w:val="22"/>
        </w:rPr>
        <w:t>Yet, consensus</w:t>
      </w:r>
      <w:r w:rsidRPr="00F03DAD">
        <w:rPr>
          <w:rFonts w:ascii="Calibri" w:hAnsi="Calibri" w:cs="Calibri"/>
          <w:sz w:val="22"/>
          <w:szCs w:val="22"/>
        </w:rPr>
        <w:t xml:space="preserve"> has emerged that </w:t>
      </w:r>
      <w:r>
        <w:rPr>
          <w:rFonts w:ascii="Calibri" w:hAnsi="Calibri" w:cs="Calibri"/>
          <w:sz w:val="22"/>
          <w:szCs w:val="22"/>
        </w:rPr>
        <w:t xml:space="preserve">the IYFF provides momentum for a qualitative step forward </w:t>
      </w:r>
      <w:r w:rsidRPr="00021AD9">
        <w:rPr>
          <w:rFonts w:ascii="Calibri" w:hAnsi="Calibri" w:cs="Calibri"/>
          <w:sz w:val="22"/>
          <w:szCs w:val="22"/>
        </w:rPr>
        <w:t>for policy and analytical purposes</w:t>
      </w:r>
      <w:r>
        <w:rPr>
          <w:rFonts w:ascii="Calibri" w:hAnsi="Calibri" w:cs="Calibri"/>
          <w:sz w:val="22"/>
          <w:szCs w:val="22"/>
        </w:rPr>
        <w:t xml:space="preserve"> through, for example, ac</w:t>
      </w:r>
      <w:r w:rsidRPr="00F03DAD">
        <w:rPr>
          <w:rFonts w:ascii="Calibri" w:hAnsi="Calibri" w:cs="Calibri"/>
          <w:sz w:val="22"/>
          <w:szCs w:val="22"/>
        </w:rPr>
        <w:t xml:space="preserve">hieving common international criteria to facilitate definitions </w:t>
      </w:r>
      <w:r>
        <w:rPr>
          <w:rFonts w:ascii="Calibri" w:hAnsi="Calibri" w:cs="Calibri"/>
          <w:sz w:val="22"/>
          <w:szCs w:val="22"/>
        </w:rPr>
        <w:t xml:space="preserve">and typologies </w:t>
      </w:r>
      <w:r w:rsidRPr="00F03DAD">
        <w:rPr>
          <w:rFonts w:ascii="Calibri" w:hAnsi="Calibri" w:cs="Calibri"/>
          <w:sz w:val="22"/>
          <w:szCs w:val="22"/>
        </w:rPr>
        <w:t xml:space="preserve">of FF at country and regional level. </w:t>
      </w:r>
    </w:p>
    <w:p w:rsidR="00474214" w:rsidRPr="00F03DAD" w:rsidRDefault="00474214" w:rsidP="00374627">
      <w:pPr>
        <w:jc w:val="both"/>
        <w:rPr>
          <w:rFonts w:ascii="Calibri" w:hAnsi="Calibri" w:cs="Calibri"/>
          <w:sz w:val="22"/>
          <w:szCs w:val="22"/>
        </w:rPr>
      </w:pPr>
      <w:r>
        <w:rPr>
          <w:rFonts w:ascii="Calibri" w:hAnsi="Calibri" w:cs="Calibri"/>
          <w:sz w:val="22"/>
          <w:szCs w:val="22"/>
        </w:rPr>
        <w:t>This step</w:t>
      </w:r>
      <w:r w:rsidRPr="00F03DAD">
        <w:rPr>
          <w:rFonts w:ascii="Calibri" w:hAnsi="Calibri" w:cs="Calibri"/>
          <w:sz w:val="22"/>
          <w:szCs w:val="22"/>
        </w:rPr>
        <w:t xml:space="preserve"> would enable various actors to align their objectives and </w:t>
      </w:r>
      <w:r>
        <w:rPr>
          <w:rFonts w:ascii="Calibri" w:hAnsi="Calibri" w:cs="Calibri"/>
          <w:sz w:val="22"/>
          <w:szCs w:val="22"/>
        </w:rPr>
        <w:t xml:space="preserve">would </w:t>
      </w:r>
      <w:r w:rsidRPr="00F03DAD">
        <w:rPr>
          <w:rFonts w:ascii="Calibri" w:hAnsi="Calibri" w:cs="Calibri"/>
          <w:sz w:val="22"/>
          <w:szCs w:val="22"/>
        </w:rPr>
        <w:t>facilitate the identification of effective ways to supp</w:t>
      </w:r>
      <w:r>
        <w:rPr>
          <w:rFonts w:ascii="Calibri" w:hAnsi="Calibri" w:cs="Calibri"/>
          <w:sz w:val="22"/>
          <w:szCs w:val="22"/>
        </w:rPr>
        <w:t>ort FF in their diversity</w:t>
      </w:r>
      <w:r w:rsidRPr="00F03DAD">
        <w:rPr>
          <w:rFonts w:ascii="Calibri" w:hAnsi="Calibri" w:cs="Calibri"/>
          <w:sz w:val="22"/>
          <w:szCs w:val="22"/>
        </w:rPr>
        <w:t xml:space="preserve">. Similarly, clear criteria are required to enable </w:t>
      </w:r>
      <w:r>
        <w:rPr>
          <w:rFonts w:ascii="Calibri" w:hAnsi="Calibri" w:cs="Calibri"/>
          <w:sz w:val="22"/>
          <w:szCs w:val="22"/>
        </w:rPr>
        <w:t>the gathering of</w:t>
      </w:r>
      <w:r w:rsidRPr="00F03DAD">
        <w:rPr>
          <w:rFonts w:ascii="Calibri" w:hAnsi="Calibri" w:cs="Calibri"/>
          <w:sz w:val="22"/>
          <w:szCs w:val="22"/>
        </w:rPr>
        <w:t xml:space="preserve"> adequate statistics on the economic and demographic dimensions of family farming </w:t>
      </w:r>
      <w:r>
        <w:rPr>
          <w:rFonts w:ascii="Calibri" w:hAnsi="Calibri" w:cs="Calibri"/>
          <w:sz w:val="22"/>
          <w:szCs w:val="22"/>
        </w:rPr>
        <w:t xml:space="preserve">in order </w:t>
      </w:r>
      <w:r w:rsidRPr="00F03DAD">
        <w:rPr>
          <w:rFonts w:ascii="Calibri" w:hAnsi="Calibri" w:cs="Calibri"/>
          <w:sz w:val="22"/>
          <w:szCs w:val="22"/>
        </w:rPr>
        <w:t>to enhance pro-FF policy initiatives that may require the selection of targeted benef</w:t>
      </w:r>
      <w:r>
        <w:rPr>
          <w:rFonts w:ascii="Calibri" w:hAnsi="Calibri" w:cs="Calibri"/>
          <w:sz w:val="22"/>
          <w:szCs w:val="22"/>
        </w:rPr>
        <w:t>iciaries and typologies</w:t>
      </w:r>
      <w:r w:rsidRPr="00F03DAD">
        <w:rPr>
          <w:rFonts w:ascii="Calibri" w:hAnsi="Calibri" w:cs="Calibri"/>
          <w:sz w:val="22"/>
          <w:szCs w:val="22"/>
        </w:rPr>
        <w:t>.</w:t>
      </w:r>
      <w:r>
        <w:rPr>
          <w:rFonts w:ascii="Calibri" w:hAnsi="Calibri" w:cs="Calibri"/>
          <w:sz w:val="22"/>
          <w:szCs w:val="22"/>
        </w:rPr>
        <w:t xml:space="preserve"> </w:t>
      </w:r>
      <w:r>
        <w:rPr>
          <w:rFonts w:ascii="Calibri" w:hAnsi="Calibri" w:cs="Arial"/>
          <w:color w:val="1A1A1A"/>
          <w:sz w:val="22"/>
          <w:szCs w:val="26"/>
        </w:rPr>
        <w:t>Currently, the participation of family farmers in food, feed, fibre and fuel production and their contribution related to ecosystem services and carbon footprint cannot be fairly estimated.</w:t>
      </w:r>
    </w:p>
    <w:p w:rsidR="00474214" w:rsidRDefault="00474214" w:rsidP="002A2458">
      <w:pPr>
        <w:jc w:val="both"/>
        <w:rPr>
          <w:rFonts w:ascii="Calibri" w:hAnsi="Calibri" w:cs="Arial"/>
          <w:color w:val="1A1A1A"/>
          <w:sz w:val="22"/>
          <w:szCs w:val="26"/>
        </w:rPr>
      </w:pPr>
      <w:r w:rsidRPr="00F03DAD">
        <w:rPr>
          <w:rFonts w:ascii="Calibri" w:hAnsi="Calibri" w:cs="Calibri"/>
          <w:sz w:val="22"/>
          <w:szCs w:val="22"/>
        </w:rPr>
        <w:t xml:space="preserve">In addition, this gap is a constraint when making international comparisons and estimates using agricultural census data. </w:t>
      </w:r>
      <w:r>
        <w:rPr>
          <w:rFonts w:ascii="Calibri" w:hAnsi="Calibri" w:cs="Calibri"/>
          <w:sz w:val="22"/>
          <w:szCs w:val="22"/>
        </w:rPr>
        <w:t>For example</w:t>
      </w:r>
      <w:r w:rsidRPr="00F03DAD">
        <w:rPr>
          <w:rFonts w:ascii="Calibri" w:hAnsi="Calibri" w:cs="Calibri"/>
          <w:sz w:val="22"/>
          <w:szCs w:val="22"/>
        </w:rPr>
        <w:t xml:space="preserve">, </w:t>
      </w:r>
      <w:r w:rsidRPr="00F03DAD">
        <w:rPr>
          <w:rFonts w:ascii="Calibri" w:hAnsi="Calibri" w:cs="Arial"/>
          <w:color w:val="1A1A1A"/>
          <w:sz w:val="22"/>
          <w:szCs w:val="26"/>
        </w:rPr>
        <w:t xml:space="preserve">recent FAO studies find that </w:t>
      </w:r>
      <w:r>
        <w:rPr>
          <w:rFonts w:ascii="Calibri" w:hAnsi="Calibri" w:cs="Arial"/>
          <w:color w:val="1A1A1A"/>
          <w:sz w:val="22"/>
          <w:szCs w:val="26"/>
        </w:rPr>
        <w:t>at least</w:t>
      </w:r>
      <w:r w:rsidRPr="00F03DAD">
        <w:rPr>
          <w:rFonts w:ascii="Calibri" w:hAnsi="Calibri" w:cs="Arial"/>
          <w:color w:val="1A1A1A"/>
          <w:sz w:val="22"/>
          <w:szCs w:val="26"/>
        </w:rPr>
        <w:t xml:space="preserve"> </w:t>
      </w:r>
      <w:r w:rsidRPr="00021AD9">
        <w:rPr>
          <w:rFonts w:ascii="Calibri" w:hAnsi="Calibri" w:cs="Arial"/>
          <w:color w:val="1A1A1A"/>
          <w:sz w:val="22"/>
          <w:szCs w:val="26"/>
        </w:rPr>
        <w:t xml:space="preserve">90 percent of </w:t>
      </w:r>
      <w:r w:rsidRPr="00F03DAD">
        <w:rPr>
          <w:rFonts w:ascii="Calibri" w:hAnsi="Calibri" w:cs="Arial"/>
          <w:color w:val="1A1A1A"/>
          <w:sz w:val="22"/>
          <w:szCs w:val="26"/>
        </w:rPr>
        <w:t xml:space="preserve">more than </w:t>
      </w:r>
      <w:r>
        <w:rPr>
          <w:rFonts w:ascii="Calibri" w:hAnsi="Calibri" w:cs="Arial"/>
          <w:color w:val="1A1A1A"/>
          <w:sz w:val="22"/>
          <w:szCs w:val="26"/>
        </w:rPr>
        <w:t xml:space="preserve">570 million farms in the world </w:t>
      </w:r>
      <w:r w:rsidRPr="00F03DAD">
        <w:rPr>
          <w:rFonts w:ascii="Calibri" w:hAnsi="Calibri" w:cs="Arial"/>
          <w:color w:val="1A1A1A"/>
          <w:sz w:val="22"/>
          <w:szCs w:val="26"/>
        </w:rPr>
        <w:t>can be considered as family farms (</w:t>
      </w:r>
      <w:r>
        <w:rPr>
          <w:rFonts w:ascii="Calibri" w:hAnsi="Calibri" w:cs="Arial"/>
          <w:color w:val="1A1A1A"/>
          <w:sz w:val="22"/>
          <w:szCs w:val="26"/>
        </w:rPr>
        <w:t xml:space="preserve">a </w:t>
      </w:r>
      <w:r w:rsidRPr="00F03DAD">
        <w:rPr>
          <w:rFonts w:ascii="Calibri" w:hAnsi="Calibri" w:cs="Arial"/>
          <w:color w:val="1A1A1A"/>
          <w:sz w:val="22"/>
          <w:szCs w:val="26"/>
        </w:rPr>
        <w:t>conservative estimate) and occupy approximately 70 percent of the world's farmland.</w:t>
      </w:r>
      <w:r>
        <w:rPr>
          <w:rFonts w:ascii="Calibri" w:hAnsi="Calibri" w:cs="Arial"/>
          <w:color w:val="1A1A1A"/>
          <w:sz w:val="22"/>
          <w:szCs w:val="26"/>
        </w:rPr>
        <w:t xml:space="preserve"> Better estimations could be made if agricultural census essential data would include similar criteria to identify the family farms’ sector.</w:t>
      </w:r>
    </w:p>
    <w:p w:rsidR="00474214" w:rsidRPr="00F03DAD" w:rsidDel="00C21F95" w:rsidRDefault="00474214" w:rsidP="002A2458">
      <w:pPr>
        <w:jc w:val="both"/>
        <w:rPr>
          <w:rFonts w:ascii="Calibri" w:hAnsi="Calibri" w:cs="Calibri"/>
          <w:sz w:val="22"/>
          <w:szCs w:val="22"/>
        </w:rPr>
      </w:pPr>
      <w:r>
        <w:rPr>
          <w:rFonts w:ascii="Calibri" w:hAnsi="Calibri" w:cs="Arial"/>
          <w:color w:val="1A1A1A"/>
          <w:sz w:val="22"/>
          <w:szCs w:val="26"/>
        </w:rPr>
        <w:t>More effective harmonization of agricultural data in the context of relevant UN agencies will be highly beneficial for improved interagency coordination.</w:t>
      </w:r>
    </w:p>
    <w:p w:rsidR="00474214" w:rsidRDefault="00474214" w:rsidP="00AD2C44">
      <w:pPr>
        <w:spacing w:line="240" w:lineRule="auto"/>
        <w:jc w:val="both"/>
        <w:rPr>
          <w:rFonts w:ascii="Calibri" w:hAnsi="Calibri" w:cs="Calibri"/>
          <w:sz w:val="22"/>
          <w:szCs w:val="22"/>
        </w:rPr>
      </w:pPr>
      <w:r w:rsidRPr="00F03DAD">
        <w:rPr>
          <w:rFonts w:ascii="Calibri" w:hAnsi="Calibri" w:cs="Calibri"/>
          <w:sz w:val="22"/>
          <w:szCs w:val="22"/>
        </w:rPr>
        <w:t xml:space="preserve">Recognizing the urgency </w:t>
      </w:r>
      <w:r>
        <w:rPr>
          <w:rFonts w:ascii="Calibri" w:hAnsi="Calibri" w:cs="Calibri"/>
          <w:sz w:val="22"/>
          <w:szCs w:val="22"/>
        </w:rPr>
        <w:t>of</w:t>
      </w:r>
      <w:r w:rsidRPr="00F03DAD">
        <w:rPr>
          <w:rFonts w:ascii="Calibri" w:hAnsi="Calibri" w:cs="Calibri"/>
          <w:sz w:val="22"/>
          <w:szCs w:val="22"/>
        </w:rPr>
        <w:t xml:space="preserve"> address</w:t>
      </w:r>
      <w:r>
        <w:rPr>
          <w:rFonts w:ascii="Calibri" w:hAnsi="Calibri" w:cs="Calibri"/>
          <w:sz w:val="22"/>
          <w:szCs w:val="22"/>
        </w:rPr>
        <w:t>ing</w:t>
      </w:r>
      <w:r w:rsidRPr="00F03DAD">
        <w:rPr>
          <w:rFonts w:ascii="Calibri" w:hAnsi="Calibri" w:cs="Calibri"/>
          <w:sz w:val="22"/>
          <w:szCs w:val="22"/>
        </w:rPr>
        <w:t xml:space="preserve"> the question of FF definitions and typologies at national and regional level and its crucial importance for outputs of the IYFF beyond 2014, FAO will host a technical working group</w:t>
      </w:r>
      <w:r>
        <w:rPr>
          <w:rFonts w:ascii="Calibri" w:hAnsi="Calibri" w:cs="Calibri"/>
          <w:sz w:val="22"/>
          <w:szCs w:val="22"/>
        </w:rPr>
        <w:t>, which will build on work achieved throughout the IYFF and ongoing extensive work achieved by the World Agricultures Watch initiative on typologies of agricultural holdings as well as other initiatives such as the regional criteria and national registers of family farms achieved by the Specialized Meeting on Family Farming of the Southern Common Market</w:t>
      </w:r>
      <w:r w:rsidRPr="00F03DAD">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3"/>
      </w:tblGrid>
      <w:tr w:rsidR="00474214" w:rsidRPr="003426FB" w:rsidTr="008B5BA6">
        <w:trPr>
          <w:trHeight w:val="3534"/>
        </w:trPr>
        <w:tc>
          <w:tcPr>
            <w:tcW w:w="9243" w:type="dxa"/>
          </w:tcPr>
          <w:p w:rsidR="00474214" w:rsidRPr="008B5BA6" w:rsidRDefault="00474214" w:rsidP="008B5BA6">
            <w:pPr>
              <w:pStyle w:val="ListParagraph"/>
              <w:ind w:left="0"/>
              <w:jc w:val="center"/>
              <w:rPr>
                <w:rFonts w:ascii="Calibri" w:hAnsi="Calibri" w:cs="Calibri"/>
                <w:b/>
                <w:u w:val="single"/>
              </w:rPr>
            </w:pPr>
            <w:r w:rsidRPr="008B5BA6">
              <w:rPr>
                <w:rFonts w:ascii="Calibri" w:hAnsi="Calibri" w:cs="Calibri"/>
                <w:b/>
                <w:sz w:val="22"/>
                <w:szCs w:val="22"/>
                <w:u w:val="single"/>
              </w:rPr>
              <w:t>Importance of Common Criteria</w:t>
            </w:r>
          </w:p>
          <w:p w:rsidR="00474214" w:rsidRPr="008B5BA6" w:rsidRDefault="00474214" w:rsidP="008B5BA6">
            <w:pPr>
              <w:pStyle w:val="ListParagraph"/>
              <w:numPr>
                <w:ilvl w:val="0"/>
                <w:numId w:val="11"/>
              </w:numPr>
              <w:jc w:val="both"/>
              <w:rPr>
                <w:rFonts w:ascii="Calibri" w:hAnsi="Calibri" w:cs="Calibri"/>
              </w:rPr>
            </w:pPr>
            <w:r w:rsidRPr="008B5BA6">
              <w:rPr>
                <w:rFonts w:ascii="Calibri" w:hAnsi="Calibri" w:cs="Calibri"/>
                <w:iCs/>
                <w:sz w:val="22"/>
                <w:szCs w:val="22"/>
              </w:rPr>
              <w:t>Enhanced policy planning</w:t>
            </w:r>
            <w:r w:rsidRPr="008B5BA6">
              <w:rPr>
                <w:rFonts w:ascii="Calibri" w:hAnsi="Calibri" w:cs="Calibri"/>
                <w:sz w:val="22"/>
                <w:szCs w:val="22"/>
              </w:rPr>
              <w:t xml:space="preserve"> tailored to FF needs and </w:t>
            </w:r>
            <w:r w:rsidRPr="008B5BA6">
              <w:rPr>
                <w:rFonts w:ascii="Calibri" w:hAnsi="Calibri" w:cs="Calibri"/>
                <w:iCs/>
                <w:sz w:val="22"/>
                <w:szCs w:val="22"/>
              </w:rPr>
              <w:t xml:space="preserve">diversification of FF-focused programs and policies </w:t>
            </w:r>
            <w:r w:rsidRPr="008B5BA6">
              <w:rPr>
                <w:rFonts w:ascii="Calibri" w:hAnsi="Calibri" w:cs="Calibri"/>
                <w:sz w:val="22"/>
                <w:szCs w:val="22"/>
              </w:rPr>
              <w:t>based on the FF typologies</w:t>
            </w:r>
          </w:p>
          <w:p w:rsidR="00474214" w:rsidRPr="008B5BA6" w:rsidRDefault="00474214" w:rsidP="008B5BA6">
            <w:pPr>
              <w:pStyle w:val="ListParagraph"/>
              <w:numPr>
                <w:ilvl w:val="0"/>
                <w:numId w:val="11"/>
              </w:numPr>
              <w:jc w:val="both"/>
              <w:rPr>
                <w:rFonts w:ascii="Calibri" w:hAnsi="Calibri" w:cs="Calibri"/>
              </w:rPr>
            </w:pPr>
            <w:r w:rsidRPr="008B5BA6">
              <w:rPr>
                <w:rFonts w:ascii="Calibri" w:hAnsi="Calibri" w:cs="Calibri"/>
                <w:iCs/>
                <w:sz w:val="22"/>
                <w:szCs w:val="22"/>
              </w:rPr>
              <w:t>More accurate monitoring</w:t>
            </w:r>
            <w:r w:rsidRPr="008B5BA6">
              <w:rPr>
                <w:rFonts w:ascii="Calibri" w:hAnsi="Calibri" w:cs="Calibri"/>
                <w:sz w:val="22"/>
                <w:szCs w:val="22"/>
              </w:rPr>
              <w:t xml:space="preserve"> and reporting of policy implementation and outcomes</w:t>
            </w:r>
          </w:p>
          <w:p w:rsidR="00474214" w:rsidRPr="008B5BA6" w:rsidDel="00B57AC1" w:rsidRDefault="00474214" w:rsidP="008B5BA6">
            <w:pPr>
              <w:pStyle w:val="ListParagraph"/>
              <w:numPr>
                <w:ilvl w:val="0"/>
                <w:numId w:val="11"/>
              </w:numPr>
              <w:jc w:val="both"/>
              <w:rPr>
                <w:rFonts w:ascii="Calibri" w:hAnsi="Calibri" w:cs="Calibri"/>
              </w:rPr>
            </w:pPr>
            <w:r w:rsidRPr="008B5BA6">
              <w:rPr>
                <w:rFonts w:ascii="Calibri" w:hAnsi="Calibri" w:cs="Calibri"/>
                <w:sz w:val="22"/>
                <w:szCs w:val="22"/>
              </w:rPr>
              <w:t xml:space="preserve">Enhanced capability to produce statistics on FF at national and regional level in order to provide a broader base of homogeneous data </w:t>
            </w:r>
          </w:p>
          <w:p w:rsidR="00474214" w:rsidRPr="008B5BA6" w:rsidRDefault="00474214" w:rsidP="008B5BA6">
            <w:pPr>
              <w:pStyle w:val="ListParagraph"/>
              <w:numPr>
                <w:ilvl w:val="0"/>
                <w:numId w:val="11"/>
              </w:numPr>
              <w:jc w:val="both"/>
              <w:rPr>
                <w:rFonts w:ascii="Calibri" w:hAnsi="Calibri" w:cs="Calibri"/>
              </w:rPr>
            </w:pPr>
            <w:r w:rsidRPr="008B5BA6">
              <w:rPr>
                <w:rFonts w:ascii="Calibri" w:hAnsi="Calibri" w:cs="Calibri"/>
                <w:sz w:val="22"/>
                <w:szCs w:val="22"/>
              </w:rPr>
              <w:t xml:space="preserve">Better tailored research initiatives that respond to the specific challenges facing family farmers </w:t>
            </w:r>
          </w:p>
          <w:p w:rsidR="00474214" w:rsidRPr="008B5BA6" w:rsidRDefault="00474214" w:rsidP="008B5BA6">
            <w:pPr>
              <w:pStyle w:val="ListParagraph"/>
              <w:numPr>
                <w:ilvl w:val="0"/>
                <w:numId w:val="11"/>
              </w:numPr>
              <w:jc w:val="both"/>
              <w:rPr>
                <w:rFonts w:ascii="Calibri" w:hAnsi="Calibri" w:cs="Calibri"/>
              </w:rPr>
            </w:pPr>
            <w:r w:rsidRPr="008B5BA6">
              <w:rPr>
                <w:rFonts w:ascii="Calibri" w:hAnsi="Calibri" w:cs="Calibri"/>
                <w:sz w:val="22"/>
                <w:szCs w:val="22"/>
              </w:rPr>
              <w:t xml:space="preserve">Better targeted extension and rural services for family farmers </w:t>
            </w:r>
          </w:p>
          <w:p w:rsidR="00474214" w:rsidRPr="008B5BA6" w:rsidRDefault="00474214" w:rsidP="008B5BA6">
            <w:pPr>
              <w:pStyle w:val="ListParagraph"/>
              <w:numPr>
                <w:ilvl w:val="0"/>
                <w:numId w:val="11"/>
              </w:numPr>
              <w:jc w:val="both"/>
              <w:rPr>
                <w:rFonts w:ascii="Calibri" w:hAnsi="Calibri" w:cs="Calibri"/>
              </w:rPr>
            </w:pPr>
            <w:r w:rsidRPr="008B5BA6">
              <w:rPr>
                <w:rFonts w:ascii="Calibri" w:hAnsi="Calibri" w:cs="Calibri"/>
                <w:sz w:val="22"/>
                <w:szCs w:val="22"/>
              </w:rPr>
              <w:t>Better targeted public support for innovation, taking into account the specific characteristics of family farming at the national/regional level</w:t>
            </w:r>
          </w:p>
          <w:p w:rsidR="00474214" w:rsidRPr="008B5BA6" w:rsidRDefault="00474214" w:rsidP="008B5BA6">
            <w:pPr>
              <w:pStyle w:val="ListParagraph"/>
              <w:numPr>
                <w:ilvl w:val="0"/>
                <w:numId w:val="11"/>
              </w:numPr>
              <w:jc w:val="both"/>
              <w:rPr>
                <w:rFonts w:ascii="Calibri" w:hAnsi="Calibri" w:cs="Calibri"/>
                <w:b/>
                <w:u w:val="single"/>
              </w:rPr>
            </w:pPr>
            <w:r w:rsidRPr="008B5BA6">
              <w:rPr>
                <w:rFonts w:ascii="Calibri" w:hAnsi="Calibri" w:cs="Calibri"/>
                <w:sz w:val="22"/>
                <w:szCs w:val="22"/>
              </w:rPr>
              <w:t>Harmonized efforts of development agencies and other stakeholders engaged in family farming</w:t>
            </w:r>
          </w:p>
        </w:tc>
      </w:tr>
    </w:tbl>
    <w:p w:rsidR="00474214" w:rsidRDefault="00474214" w:rsidP="009822FA">
      <w:pPr>
        <w:jc w:val="both"/>
        <w:rPr>
          <w:rFonts w:ascii="Calibri" w:hAnsi="Calibri" w:cs="Calibri"/>
          <w:b/>
          <w:sz w:val="22"/>
          <w:szCs w:val="22"/>
          <w:u w:val="single"/>
        </w:rPr>
      </w:pPr>
    </w:p>
    <w:p w:rsidR="00474214" w:rsidRPr="00F03DAD" w:rsidRDefault="00474214" w:rsidP="009822FA">
      <w:pPr>
        <w:jc w:val="both"/>
        <w:rPr>
          <w:rFonts w:ascii="Calibri" w:hAnsi="Calibri" w:cs="Calibri"/>
          <w:b/>
          <w:sz w:val="22"/>
          <w:szCs w:val="22"/>
          <w:u w:val="single"/>
        </w:rPr>
      </w:pPr>
      <w:r w:rsidRPr="00F03DAD">
        <w:rPr>
          <w:rFonts w:ascii="Calibri" w:hAnsi="Calibri" w:cs="Calibri"/>
          <w:b/>
          <w:sz w:val="22"/>
          <w:szCs w:val="22"/>
          <w:u w:val="single"/>
        </w:rPr>
        <w:t>Mandate of the Working Group</w:t>
      </w:r>
    </w:p>
    <w:p w:rsidR="00474214" w:rsidRPr="00F03DAD" w:rsidRDefault="00474214" w:rsidP="009822FA">
      <w:pPr>
        <w:jc w:val="both"/>
        <w:rPr>
          <w:rFonts w:ascii="Calibri" w:hAnsi="Calibri" w:cs="Calibri"/>
          <w:sz w:val="22"/>
          <w:szCs w:val="22"/>
        </w:rPr>
      </w:pPr>
      <w:r w:rsidRPr="00F03DAD">
        <w:rPr>
          <w:rFonts w:ascii="Calibri" w:hAnsi="Calibri" w:cs="Calibri"/>
          <w:sz w:val="22"/>
          <w:szCs w:val="22"/>
        </w:rPr>
        <w:t xml:space="preserve">The main goal of the working group is to develop criteria </w:t>
      </w:r>
      <w:r>
        <w:rPr>
          <w:rFonts w:ascii="Calibri" w:hAnsi="Calibri" w:cs="Calibri"/>
          <w:sz w:val="22"/>
          <w:szCs w:val="22"/>
        </w:rPr>
        <w:t xml:space="preserve">and guidelines to support countries </w:t>
      </w:r>
      <w:r w:rsidRPr="00F03DAD">
        <w:rPr>
          <w:rFonts w:ascii="Calibri" w:hAnsi="Calibri" w:cs="Calibri"/>
          <w:sz w:val="22"/>
          <w:szCs w:val="22"/>
        </w:rPr>
        <w:t xml:space="preserve">for establishing </w:t>
      </w:r>
      <w:r>
        <w:rPr>
          <w:rFonts w:ascii="Calibri" w:hAnsi="Calibri" w:cs="Calibri"/>
          <w:sz w:val="22"/>
          <w:szCs w:val="22"/>
        </w:rPr>
        <w:t xml:space="preserve">and characterizing </w:t>
      </w:r>
      <w:r w:rsidRPr="00F03DAD">
        <w:rPr>
          <w:rFonts w:ascii="Calibri" w:hAnsi="Calibri" w:cs="Calibri"/>
          <w:sz w:val="22"/>
          <w:szCs w:val="22"/>
        </w:rPr>
        <w:t>clear FF definitions and typologies at national and regional level. The criteria are expected to be encompassing enough to provide a range of characteristics that are applicable to multiple family farming contexts – shaped by historical, cultural and economic factors</w:t>
      </w:r>
      <w:r>
        <w:rPr>
          <w:rFonts w:ascii="Calibri" w:hAnsi="Calibri" w:cs="Calibri"/>
          <w:sz w:val="22"/>
          <w:szCs w:val="22"/>
        </w:rPr>
        <w:t>, user oriented and practical enough to be informed through regular data collection, including existing statistics.</w:t>
      </w:r>
    </w:p>
    <w:tbl>
      <w:tblPr>
        <w:tblW w:w="10065" w:type="dxa"/>
        <w:tblInd w:w="-318" w:type="dxa"/>
        <w:tblLook w:val="00A0"/>
      </w:tblPr>
      <w:tblGrid>
        <w:gridCol w:w="3970"/>
        <w:gridCol w:w="6095"/>
      </w:tblGrid>
      <w:tr w:rsidR="00474214" w:rsidRPr="00021AD9" w:rsidTr="008B5BA6">
        <w:tc>
          <w:tcPr>
            <w:tcW w:w="3970" w:type="dxa"/>
          </w:tcPr>
          <w:p w:rsidR="00474214" w:rsidRPr="008B5BA6" w:rsidRDefault="00474214" w:rsidP="008B5BA6">
            <w:pPr>
              <w:pStyle w:val="ListParagraph"/>
              <w:ind w:left="0"/>
              <w:jc w:val="center"/>
              <w:rPr>
                <w:rFonts w:ascii="Calibri" w:hAnsi="Calibri" w:cs="Calibri"/>
                <w:b/>
              </w:rPr>
            </w:pPr>
            <w:r w:rsidRPr="008B5BA6">
              <w:rPr>
                <w:rFonts w:ascii="Calibri" w:hAnsi="Calibri" w:cs="Calibri"/>
                <w:b/>
                <w:sz w:val="22"/>
                <w:szCs w:val="22"/>
              </w:rPr>
              <w:t>What it is not</w:t>
            </w:r>
          </w:p>
        </w:tc>
        <w:tc>
          <w:tcPr>
            <w:tcW w:w="6095" w:type="dxa"/>
          </w:tcPr>
          <w:p w:rsidR="00474214" w:rsidRPr="008B5BA6" w:rsidRDefault="00474214" w:rsidP="008B5BA6">
            <w:pPr>
              <w:pStyle w:val="ListParagraph"/>
              <w:ind w:left="0"/>
              <w:jc w:val="center"/>
              <w:rPr>
                <w:rFonts w:ascii="Calibri" w:hAnsi="Calibri" w:cs="Calibri"/>
                <w:b/>
              </w:rPr>
            </w:pPr>
            <w:r w:rsidRPr="008B5BA6">
              <w:rPr>
                <w:rFonts w:ascii="Calibri" w:hAnsi="Calibri" w:cs="Calibri"/>
                <w:b/>
                <w:sz w:val="22"/>
                <w:szCs w:val="22"/>
              </w:rPr>
              <w:t>What it is</w:t>
            </w:r>
          </w:p>
        </w:tc>
      </w:tr>
      <w:tr w:rsidR="00474214" w:rsidRPr="00021AD9" w:rsidTr="008B5BA6">
        <w:tc>
          <w:tcPr>
            <w:tcW w:w="3970" w:type="dxa"/>
          </w:tcPr>
          <w:p w:rsidR="00474214" w:rsidRPr="008B5BA6" w:rsidRDefault="00474214" w:rsidP="008B5BA6">
            <w:pPr>
              <w:pStyle w:val="ListParagraph"/>
              <w:ind w:left="0"/>
              <w:jc w:val="center"/>
              <w:rPr>
                <w:rFonts w:ascii="Calibri" w:hAnsi="Calibri" w:cs="Calibri"/>
              </w:rPr>
            </w:pPr>
            <w:r w:rsidRPr="008B5BA6">
              <w:rPr>
                <w:rFonts w:ascii="Calibri" w:hAnsi="Calibri" w:cs="Calibri"/>
                <w:sz w:val="22"/>
                <w:szCs w:val="22"/>
              </w:rPr>
              <w:t>Intergovernmental panel</w:t>
            </w:r>
          </w:p>
        </w:tc>
        <w:tc>
          <w:tcPr>
            <w:tcW w:w="6095" w:type="dxa"/>
          </w:tcPr>
          <w:p w:rsidR="00474214" w:rsidRPr="008B5BA6" w:rsidRDefault="00474214" w:rsidP="008B5BA6">
            <w:pPr>
              <w:pStyle w:val="ListParagraph"/>
              <w:ind w:left="0"/>
              <w:jc w:val="center"/>
              <w:rPr>
                <w:rFonts w:ascii="Calibri" w:hAnsi="Calibri" w:cs="Calibri"/>
              </w:rPr>
            </w:pPr>
            <w:r w:rsidRPr="008B5BA6">
              <w:rPr>
                <w:rFonts w:ascii="Calibri" w:hAnsi="Calibri" w:cs="Calibri"/>
                <w:sz w:val="22"/>
                <w:szCs w:val="22"/>
              </w:rPr>
              <w:t>Working group of technical experts</w:t>
            </w:r>
          </w:p>
        </w:tc>
      </w:tr>
      <w:tr w:rsidR="00474214" w:rsidRPr="00021AD9" w:rsidTr="008B5BA6">
        <w:tc>
          <w:tcPr>
            <w:tcW w:w="3970" w:type="dxa"/>
          </w:tcPr>
          <w:p w:rsidR="00474214" w:rsidRPr="008B5BA6" w:rsidRDefault="00474214" w:rsidP="008B5BA6">
            <w:pPr>
              <w:pStyle w:val="ListParagraph"/>
              <w:ind w:left="0"/>
              <w:jc w:val="center"/>
              <w:rPr>
                <w:rFonts w:ascii="Calibri" w:hAnsi="Calibri" w:cs="Calibri"/>
              </w:rPr>
            </w:pPr>
            <w:r w:rsidRPr="008B5BA6">
              <w:rPr>
                <w:rFonts w:ascii="Calibri" w:hAnsi="Calibri" w:cs="Calibri"/>
                <w:sz w:val="22"/>
                <w:szCs w:val="22"/>
              </w:rPr>
              <w:t>A working group to create an international definition for family farming</w:t>
            </w:r>
          </w:p>
        </w:tc>
        <w:tc>
          <w:tcPr>
            <w:tcW w:w="6095" w:type="dxa"/>
          </w:tcPr>
          <w:p w:rsidR="00474214" w:rsidRPr="008B5BA6" w:rsidRDefault="00474214" w:rsidP="008B5BA6">
            <w:pPr>
              <w:pStyle w:val="ListParagraph"/>
              <w:ind w:left="0"/>
              <w:jc w:val="center"/>
              <w:rPr>
                <w:rFonts w:ascii="Calibri" w:hAnsi="Calibri" w:cs="Calibri"/>
              </w:rPr>
            </w:pPr>
            <w:r w:rsidRPr="008B5BA6">
              <w:rPr>
                <w:rFonts w:ascii="Calibri" w:hAnsi="Calibri" w:cs="Calibri"/>
                <w:sz w:val="22"/>
                <w:szCs w:val="22"/>
              </w:rPr>
              <w:t>A working group to establish international common criteria useful for definitions and typologies at national/regional level</w:t>
            </w:r>
          </w:p>
        </w:tc>
      </w:tr>
    </w:tbl>
    <w:p w:rsidR="00474214" w:rsidRPr="00F03DAD" w:rsidRDefault="00474214" w:rsidP="00CC0885">
      <w:pPr>
        <w:jc w:val="both"/>
        <w:rPr>
          <w:rFonts w:ascii="Calibri" w:hAnsi="Calibri" w:cs="Calibri"/>
          <w:b/>
          <w:sz w:val="22"/>
          <w:szCs w:val="22"/>
          <w:u w:val="single"/>
        </w:rPr>
      </w:pPr>
      <w:r w:rsidRPr="00F03DAD">
        <w:rPr>
          <w:rFonts w:ascii="Calibri" w:hAnsi="Calibri" w:cs="Calibri"/>
          <w:b/>
          <w:sz w:val="22"/>
          <w:szCs w:val="22"/>
          <w:u w:val="single"/>
        </w:rPr>
        <w:t>Composition</w:t>
      </w:r>
    </w:p>
    <w:p w:rsidR="00474214" w:rsidRPr="00F03DAD" w:rsidRDefault="00474214" w:rsidP="00B2390C">
      <w:pPr>
        <w:rPr>
          <w:rFonts w:ascii="Calibri" w:hAnsi="Calibri" w:cs="Calibri"/>
          <w:sz w:val="22"/>
          <w:szCs w:val="22"/>
        </w:rPr>
      </w:pPr>
      <w:r w:rsidRPr="00F03DAD">
        <w:rPr>
          <w:rFonts w:ascii="Calibri" w:hAnsi="Calibri" w:cs="Calibri"/>
          <w:sz w:val="22"/>
          <w:szCs w:val="22"/>
        </w:rPr>
        <w:t>The working group will be composed of the following:</w:t>
      </w:r>
    </w:p>
    <w:p w:rsidR="00474214" w:rsidRPr="00F03DAD" w:rsidRDefault="00474214" w:rsidP="00B2390C">
      <w:pPr>
        <w:pStyle w:val="ListParagraph"/>
        <w:numPr>
          <w:ilvl w:val="0"/>
          <w:numId w:val="1"/>
        </w:numPr>
        <w:rPr>
          <w:rFonts w:ascii="Calibri" w:hAnsi="Calibri" w:cs="Calibri"/>
          <w:sz w:val="22"/>
          <w:szCs w:val="22"/>
        </w:rPr>
      </w:pPr>
      <w:r w:rsidRPr="00F03DAD">
        <w:rPr>
          <w:rFonts w:ascii="Calibri" w:hAnsi="Calibri" w:cs="Calibri"/>
          <w:sz w:val="22"/>
          <w:szCs w:val="22"/>
        </w:rPr>
        <w:t>Designated staff members of FAO, the other RBAs and development agencies</w:t>
      </w:r>
    </w:p>
    <w:p w:rsidR="00474214" w:rsidRPr="00F03DAD" w:rsidRDefault="00474214" w:rsidP="00B2390C">
      <w:pPr>
        <w:pStyle w:val="ListParagraph"/>
        <w:numPr>
          <w:ilvl w:val="0"/>
          <w:numId w:val="1"/>
        </w:numPr>
        <w:rPr>
          <w:rFonts w:ascii="Calibri" w:hAnsi="Calibri" w:cs="Calibri"/>
          <w:sz w:val="22"/>
          <w:szCs w:val="22"/>
        </w:rPr>
      </w:pPr>
      <w:r>
        <w:rPr>
          <w:rFonts w:ascii="Calibri" w:hAnsi="Calibri" w:cs="Calibri"/>
          <w:sz w:val="22"/>
          <w:szCs w:val="22"/>
        </w:rPr>
        <w:t>Experts</w:t>
      </w:r>
      <w:r w:rsidRPr="00F03DAD">
        <w:rPr>
          <w:rFonts w:ascii="Calibri" w:hAnsi="Calibri" w:cs="Calibri"/>
          <w:sz w:val="22"/>
          <w:szCs w:val="22"/>
        </w:rPr>
        <w:t xml:space="preserve"> and researchers from </w:t>
      </w:r>
      <w:r>
        <w:rPr>
          <w:rFonts w:ascii="Calibri" w:hAnsi="Calibri" w:cs="Calibri"/>
          <w:sz w:val="22"/>
          <w:szCs w:val="22"/>
        </w:rPr>
        <w:t xml:space="preserve">various </w:t>
      </w:r>
      <w:r w:rsidRPr="00F03DAD">
        <w:rPr>
          <w:rFonts w:ascii="Calibri" w:hAnsi="Calibri" w:cs="Calibri"/>
          <w:sz w:val="22"/>
          <w:szCs w:val="22"/>
        </w:rPr>
        <w:t>institutions</w:t>
      </w:r>
      <w:r>
        <w:rPr>
          <w:rFonts w:ascii="Calibri" w:hAnsi="Calibri" w:cs="Calibri"/>
          <w:sz w:val="22"/>
          <w:szCs w:val="22"/>
        </w:rPr>
        <w:t>, fields, covering all the regions</w:t>
      </w:r>
    </w:p>
    <w:p w:rsidR="00474214" w:rsidRPr="00F03DAD" w:rsidRDefault="00474214" w:rsidP="003A044F">
      <w:pPr>
        <w:jc w:val="both"/>
        <w:rPr>
          <w:rFonts w:ascii="Calibri" w:hAnsi="Calibri" w:cs="Calibri"/>
          <w:sz w:val="22"/>
          <w:szCs w:val="22"/>
        </w:rPr>
      </w:pPr>
      <w:r>
        <w:rPr>
          <w:rFonts w:ascii="Calibri" w:hAnsi="Calibri" w:cs="Calibri"/>
          <w:sz w:val="22"/>
          <w:szCs w:val="22"/>
        </w:rPr>
        <w:t xml:space="preserve">The group will be gender balanced and represent different areas and areas of expertise. </w:t>
      </w:r>
      <w:r w:rsidRPr="00F03DAD">
        <w:rPr>
          <w:rFonts w:ascii="Calibri" w:hAnsi="Calibri" w:cs="Calibri"/>
          <w:sz w:val="22"/>
          <w:szCs w:val="22"/>
        </w:rPr>
        <w:t>Technical experts and practitioners from civil society and governments will be extensively consulted throughout the process.</w:t>
      </w:r>
      <w:r>
        <w:rPr>
          <w:rFonts w:ascii="Calibri" w:hAnsi="Calibri" w:cs="Calibri"/>
          <w:sz w:val="22"/>
          <w:szCs w:val="22"/>
        </w:rPr>
        <w:t xml:space="preserve"> </w:t>
      </w:r>
    </w:p>
    <w:p w:rsidR="00474214" w:rsidRDefault="00474214" w:rsidP="00453EEE">
      <w:pPr>
        <w:spacing w:after="0"/>
        <w:jc w:val="both"/>
        <w:rPr>
          <w:rFonts w:ascii="Calibri" w:hAnsi="Calibri" w:cs="Calibri"/>
          <w:b/>
          <w:sz w:val="22"/>
          <w:szCs w:val="22"/>
          <w:u w:val="single"/>
        </w:rPr>
      </w:pPr>
      <w:r>
        <w:rPr>
          <w:rFonts w:ascii="Calibri" w:hAnsi="Calibri" w:cs="Calibri"/>
          <w:b/>
          <w:sz w:val="22"/>
          <w:szCs w:val="22"/>
          <w:u w:val="single"/>
        </w:rPr>
        <w:t>Deliverables</w:t>
      </w:r>
    </w:p>
    <w:p w:rsidR="00474214" w:rsidRDefault="00474214" w:rsidP="00453EEE">
      <w:pPr>
        <w:pStyle w:val="ListParagraph"/>
        <w:numPr>
          <w:ilvl w:val="0"/>
          <w:numId w:val="13"/>
        </w:numPr>
        <w:spacing w:after="0"/>
        <w:jc w:val="both"/>
        <w:rPr>
          <w:rFonts w:ascii="Calibri" w:hAnsi="Calibri" w:cs="Calibri"/>
          <w:sz w:val="22"/>
          <w:szCs w:val="22"/>
        </w:rPr>
      </w:pPr>
      <w:r>
        <w:rPr>
          <w:rFonts w:ascii="Calibri" w:hAnsi="Calibri" w:cs="Calibri"/>
          <w:sz w:val="22"/>
          <w:szCs w:val="22"/>
        </w:rPr>
        <w:t xml:space="preserve">A compilation of the definitions and methodologies used at country, regional and international level to define and characterize family farming/smallholder farming in their diversity, </w:t>
      </w:r>
    </w:p>
    <w:p w:rsidR="00474214" w:rsidRDefault="00474214" w:rsidP="00453EEE">
      <w:pPr>
        <w:pStyle w:val="ListParagraph"/>
        <w:numPr>
          <w:ilvl w:val="0"/>
          <w:numId w:val="13"/>
        </w:numPr>
        <w:spacing w:after="0"/>
        <w:jc w:val="both"/>
        <w:rPr>
          <w:rFonts w:ascii="Calibri" w:hAnsi="Calibri" w:cs="Calibri"/>
          <w:sz w:val="22"/>
          <w:szCs w:val="22"/>
        </w:rPr>
      </w:pPr>
      <w:r>
        <w:rPr>
          <w:rFonts w:ascii="Calibri" w:hAnsi="Calibri" w:cs="Calibri"/>
          <w:sz w:val="22"/>
          <w:szCs w:val="22"/>
        </w:rPr>
        <w:t>Common criteria and respective methodologies to adapt at national and regional level</w:t>
      </w:r>
    </w:p>
    <w:p w:rsidR="00474214" w:rsidRPr="00453EEE" w:rsidRDefault="00474214" w:rsidP="00453EEE">
      <w:pPr>
        <w:pStyle w:val="ListParagraph"/>
        <w:numPr>
          <w:ilvl w:val="0"/>
          <w:numId w:val="13"/>
        </w:numPr>
        <w:spacing w:after="0"/>
        <w:jc w:val="both"/>
        <w:rPr>
          <w:rFonts w:ascii="Calibri" w:hAnsi="Calibri" w:cs="Calibri"/>
          <w:sz w:val="22"/>
          <w:szCs w:val="22"/>
        </w:rPr>
      </w:pPr>
      <w:r>
        <w:rPr>
          <w:rFonts w:ascii="Calibri" w:hAnsi="Calibri" w:cs="Calibri"/>
          <w:sz w:val="22"/>
          <w:szCs w:val="22"/>
        </w:rPr>
        <w:t>Recommendations for improved data collection at holding and household level to characterize such typologies, from existing dataset (such as census, LSMS) and best practices from countries</w:t>
      </w:r>
    </w:p>
    <w:p w:rsidR="00474214" w:rsidRDefault="00474214" w:rsidP="00DA2606">
      <w:pPr>
        <w:jc w:val="both"/>
        <w:rPr>
          <w:rFonts w:ascii="Calibri" w:hAnsi="Calibri" w:cs="Calibri"/>
          <w:sz w:val="22"/>
          <w:szCs w:val="22"/>
          <w:u w:val="single"/>
        </w:rPr>
      </w:pPr>
      <w:r>
        <w:rPr>
          <w:rFonts w:ascii="Calibri" w:hAnsi="Calibri" w:cs="Calibri"/>
          <w:b/>
          <w:sz w:val="22"/>
          <w:szCs w:val="22"/>
          <w:u w:val="single"/>
        </w:rPr>
        <w:t xml:space="preserve">Tentative </w:t>
      </w:r>
      <w:r w:rsidRPr="00F03DAD">
        <w:rPr>
          <w:rFonts w:ascii="Calibri" w:hAnsi="Calibri" w:cs="Calibri"/>
          <w:b/>
          <w:sz w:val="22"/>
          <w:szCs w:val="22"/>
          <w:u w:val="single"/>
        </w:rPr>
        <w:t>Timeline</w:t>
      </w:r>
      <w:r w:rsidRPr="00F03DAD">
        <w:rPr>
          <w:rFonts w:ascii="Calibri" w:hAnsi="Calibri" w:cs="Calibri"/>
          <w:sz w:val="22"/>
          <w:szCs w:val="22"/>
          <w:u w:val="single"/>
        </w:rPr>
        <w:t xml:space="preserve"> </w:t>
      </w:r>
    </w:p>
    <w:p w:rsidR="00474214" w:rsidRPr="00F03DAD" w:rsidRDefault="00474214" w:rsidP="007506AF">
      <w:pPr>
        <w:numPr>
          <w:ilvl w:val="0"/>
          <w:numId w:val="8"/>
        </w:numPr>
        <w:spacing w:after="0"/>
        <w:jc w:val="both"/>
        <w:rPr>
          <w:rFonts w:ascii="Calibri" w:hAnsi="Calibri" w:cs="Calibri"/>
          <w:sz w:val="22"/>
          <w:szCs w:val="22"/>
        </w:rPr>
      </w:pPr>
      <w:r w:rsidRPr="00F03DAD">
        <w:rPr>
          <w:rFonts w:ascii="Calibri" w:hAnsi="Calibri" w:cs="Calibri"/>
          <w:sz w:val="22"/>
          <w:szCs w:val="22"/>
        </w:rPr>
        <w:t>May – formulation of the working group</w:t>
      </w:r>
    </w:p>
    <w:p w:rsidR="00474214" w:rsidRPr="00F03DAD" w:rsidRDefault="00474214" w:rsidP="007506AF">
      <w:pPr>
        <w:numPr>
          <w:ilvl w:val="0"/>
          <w:numId w:val="8"/>
        </w:numPr>
        <w:spacing w:after="0"/>
        <w:jc w:val="both"/>
        <w:rPr>
          <w:rFonts w:ascii="Calibri" w:hAnsi="Calibri" w:cs="Calibri"/>
          <w:sz w:val="22"/>
          <w:szCs w:val="22"/>
        </w:rPr>
      </w:pPr>
      <w:r w:rsidRPr="00F03DAD">
        <w:rPr>
          <w:rFonts w:ascii="Calibri" w:hAnsi="Calibri" w:cs="Calibri"/>
          <w:sz w:val="22"/>
          <w:szCs w:val="22"/>
        </w:rPr>
        <w:t>2 Technical Consultations completed by October</w:t>
      </w:r>
    </w:p>
    <w:p w:rsidR="00474214" w:rsidRPr="00C76AA0" w:rsidRDefault="00474214" w:rsidP="00DA2606">
      <w:pPr>
        <w:numPr>
          <w:ilvl w:val="0"/>
          <w:numId w:val="8"/>
        </w:numPr>
        <w:spacing w:after="0"/>
        <w:jc w:val="both"/>
        <w:rPr>
          <w:rFonts w:ascii="Calibri" w:hAnsi="Calibri" w:cs="Calibri"/>
          <w:sz w:val="22"/>
          <w:szCs w:val="22"/>
          <w:u w:val="single"/>
        </w:rPr>
      </w:pPr>
      <w:r w:rsidRPr="00F03DAD">
        <w:rPr>
          <w:rFonts w:ascii="Calibri" w:hAnsi="Calibri" w:cs="Calibri"/>
          <w:sz w:val="22"/>
          <w:szCs w:val="22"/>
        </w:rPr>
        <w:t>Presentation of the working group’s results during the Global Dialogue</w:t>
      </w:r>
    </w:p>
    <w:sectPr w:rsidR="00474214" w:rsidRPr="00C76AA0" w:rsidSect="001920A6">
      <w:pgSz w:w="11907" w:h="16840" w:code="9"/>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14" w:rsidRDefault="00474214" w:rsidP="001920A6">
      <w:pPr>
        <w:spacing w:after="0" w:line="240" w:lineRule="auto"/>
      </w:pPr>
      <w:r>
        <w:separator/>
      </w:r>
    </w:p>
  </w:endnote>
  <w:endnote w:type="continuationSeparator" w:id="0">
    <w:p w:rsidR="00474214" w:rsidRDefault="00474214" w:rsidP="00192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14" w:rsidRDefault="00474214" w:rsidP="001920A6">
      <w:pPr>
        <w:spacing w:after="0" w:line="240" w:lineRule="auto"/>
      </w:pPr>
      <w:r>
        <w:separator/>
      </w:r>
    </w:p>
  </w:footnote>
  <w:footnote w:type="continuationSeparator" w:id="0">
    <w:p w:rsidR="00474214" w:rsidRDefault="00474214" w:rsidP="00192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4FE"/>
    <w:multiLevelType w:val="multilevel"/>
    <w:tmpl w:val="974E04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B07EA3"/>
    <w:multiLevelType w:val="hybridMultilevel"/>
    <w:tmpl w:val="2764A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52E11D5"/>
    <w:multiLevelType w:val="hybridMultilevel"/>
    <w:tmpl w:val="7A5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22A0E"/>
    <w:multiLevelType w:val="hybridMultilevel"/>
    <w:tmpl w:val="F9E689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E3577"/>
    <w:multiLevelType w:val="multilevel"/>
    <w:tmpl w:val="2764AD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FD933C0"/>
    <w:multiLevelType w:val="hybridMultilevel"/>
    <w:tmpl w:val="2764A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95B71CF"/>
    <w:multiLevelType w:val="multilevel"/>
    <w:tmpl w:val="F9E689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B819CC"/>
    <w:multiLevelType w:val="hybridMultilevel"/>
    <w:tmpl w:val="974E04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D84F15"/>
    <w:multiLevelType w:val="hybridMultilevel"/>
    <w:tmpl w:val="354C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93C81"/>
    <w:multiLevelType w:val="hybridMultilevel"/>
    <w:tmpl w:val="B4C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54351"/>
    <w:multiLevelType w:val="hybridMultilevel"/>
    <w:tmpl w:val="9962E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8A60033"/>
    <w:multiLevelType w:val="hybridMultilevel"/>
    <w:tmpl w:val="93884F2A"/>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9F71A6"/>
    <w:multiLevelType w:val="hybridMultilevel"/>
    <w:tmpl w:val="6760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8"/>
  </w:num>
  <w:num w:numId="5">
    <w:abstractNumId w:val="7"/>
  </w:num>
  <w:num w:numId="6">
    <w:abstractNumId w:val="0"/>
  </w:num>
  <w:num w:numId="7">
    <w:abstractNumId w:val="10"/>
  </w:num>
  <w:num w:numId="8">
    <w:abstractNumId w:val="1"/>
  </w:num>
  <w:num w:numId="9">
    <w:abstractNumId w:val="4"/>
  </w:num>
  <w:num w:numId="10">
    <w:abstractNumId w:val="6"/>
  </w:num>
  <w:num w:numId="11">
    <w:abstractNumId w:val="1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7"/>
  <w:embedSystemFonts/>
  <w:stylePaneFormatFilter w:val="1004"/>
  <w:defaultTabStop w:val="720"/>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2E1"/>
    <w:rsid w:val="00021AD9"/>
    <w:rsid w:val="000422F4"/>
    <w:rsid w:val="00074089"/>
    <w:rsid w:val="000844E7"/>
    <w:rsid w:val="000967EC"/>
    <w:rsid w:val="000A13F8"/>
    <w:rsid w:val="000A64F3"/>
    <w:rsid w:val="000C0FD5"/>
    <w:rsid w:val="000C3BC3"/>
    <w:rsid w:val="000C429B"/>
    <w:rsid w:val="000D2158"/>
    <w:rsid w:val="000E2289"/>
    <w:rsid w:val="00113736"/>
    <w:rsid w:val="00122349"/>
    <w:rsid w:val="00127424"/>
    <w:rsid w:val="001468BF"/>
    <w:rsid w:val="001709C3"/>
    <w:rsid w:val="00171632"/>
    <w:rsid w:val="00173170"/>
    <w:rsid w:val="001920A6"/>
    <w:rsid w:val="001B4E89"/>
    <w:rsid w:val="001C1B6B"/>
    <w:rsid w:val="001D7D50"/>
    <w:rsid w:val="001F5DF1"/>
    <w:rsid w:val="00200F3D"/>
    <w:rsid w:val="002065A6"/>
    <w:rsid w:val="0022317E"/>
    <w:rsid w:val="002317B5"/>
    <w:rsid w:val="00232011"/>
    <w:rsid w:val="00247ABB"/>
    <w:rsid w:val="00260179"/>
    <w:rsid w:val="002647AF"/>
    <w:rsid w:val="002832C7"/>
    <w:rsid w:val="002A2458"/>
    <w:rsid w:val="002A4AA5"/>
    <w:rsid w:val="002C2862"/>
    <w:rsid w:val="002F4B6D"/>
    <w:rsid w:val="00301DAA"/>
    <w:rsid w:val="00307A2B"/>
    <w:rsid w:val="00324B9C"/>
    <w:rsid w:val="00326E42"/>
    <w:rsid w:val="003426FB"/>
    <w:rsid w:val="003619CE"/>
    <w:rsid w:val="00373DB1"/>
    <w:rsid w:val="00374627"/>
    <w:rsid w:val="00382EB4"/>
    <w:rsid w:val="003A044F"/>
    <w:rsid w:val="003A41B7"/>
    <w:rsid w:val="003C0EEE"/>
    <w:rsid w:val="003C1BA0"/>
    <w:rsid w:val="003D3A61"/>
    <w:rsid w:val="003E4AC7"/>
    <w:rsid w:val="003E7399"/>
    <w:rsid w:val="003F14E7"/>
    <w:rsid w:val="003F7561"/>
    <w:rsid w:val="00401A0D"/>
    <w:rsid w:val="00417369"/>
    <w:rsid w:val="0042615D"/>
    <w:rsid w:val="0043135A"/>
    <w:rsid w:val="004476FF"/>
    <w:rsid w:val="0045288B"/>
    <w:rsid w:val="00453EEE"/>
    <w:rsid w:val="00473350"/>
    <w:rsid w:val="00474214"/>
    <w:rsid w:val="00497197"/>
    <w:rsid w:val="004A289D"/>
    <w:rsid w:val="004E0DED"/>
    <w:rsid w:val="004E5F12"/>
    <w:rsid w:val="004F1C04"/>
    <w:rsid w:val="00514A8C"/>
    <w:rsid w:val="00516835"/>
    <w:rsid w:val="005452E7"/>
    <w:rsid w:val="00575C7B"/>
    <w:rsid w:val="0057723F"/>
    <w:rsid w:val="00592366"/>
    <w:rsid w:val="00595FD0"/>
    <w:rsid w:val="005D6109"/>
    <w:rsid w:val="005D645B"/>
    <w:rsid w:val="005D69D8"/>
    <w:rsid w:val="005E0F11"/>
    <w:rsid w:val="00603099"/>
    <w:rsid w:val="00626B92"/>
    <w:rsid w:val="00642F52"/>
    <w:rsid w:val="00660BE4"/>
    <w:rsid w:val="0066253E"/>
    <w:rsid w:val="006676CA"/>
    <w:rsid w:val="00673FE7"/>
    <w:rsid w:val="00677007"/>
    <w:rsid w:val="006875DA"/>
    <w:rsid w:val="00690EF3"/>
    <w:rsid w:val="006929EA"/>
    <w:rsid w:val="006C368A"/>
    <w:rsid w:val="006E3C90"/>
    <w:rsid w:val="006E7F1A"/>
    <w:rsid w:val="007014E0"/>
    <w:rsid w:val="007412A3"/>
    <w:rsid w:val="00745F28"/>
    <w:rsid w:val="007506AF"/>
    <w:rsid w:val="00762587"/>
    <w:rsid w:val="007741B7"/>
    <w:rsid w:val="00780F91"/>
    <w:rsid w:val="00793C3C"/>
    <w:rsid w:val="007B1424"/>
    <w:rsid w:val="007C4435"/>
    <w:rsid w:val="007C6458"/>
    <w:rsid w:val="007E7B47"/>
    <w:rsid w:val="007F2561"/>
    <w:rsid w:val="00817788"/>
    <w:rsid w:val="0085144D"/>
    <w:rsid w:val="00876ACD"/>
    <w:rsid w:val="008B17E7"/>
    <w:rsid w:val="008B1FA4"/>
    <w:rsid w:val="008B5BA6"/>
    <w:rsid w:val="008C397D"/>
    <w:rsid w:val="008C50A2"/>
    <w:rsid w:val="008E5ADF"/>
    <w:rsid w:val="0090168E"/>
    <w:rsid w:val="00904830"/>
    <w:rsid w:val="00915F5F"/>
    <w:rsid w:val="00924008"/>
    <w:rsid w:val="009243E2"/>
    <w:rsid w:val="00933593"/>
    <w:rsid w:val="00943003"/>
    <w:rsid w:val="009544BA"/>
    <w:rsid w:val="00954659"/>
    <w:rsid w:val="00957AC3"/>
    <w:rsid w:val="0096694A"/>
    <w:rsid w:val="009678D0"/>
    <w:rsid w:val="009822FA"/>
    <w:rsid w:val="00983135"/>
    <w:rsid w:val="00991541"/>
    <w:rsid w:val="009A4ECB"/>
    <w:rsid w:val="009A53EC"/>
    <w:rsid w:val="009C087B"/>
    <w:rsid w:val="009C7BC3"/>
    <w:rsid w:val="009D154F"/>
    <w:rsid w:val="00A008C4"/>
    <w:rsid w:val="00A061E4"/>
    <w:rsid w:val="00A147DD"/>
    <w:rsid w:val="00A2562F"/>
    <w:rsid w:val="00A55418"/>
    <w:rsid w:val="00A62DD7"/>
    <w:rsid w:val="00A93030"/>
    <w:rsid w:val="00AC038F"/>
    <w:rsid w:val="00AC5910"/>
    <w:rsid w:val="00AC5A5A"/>
    <w:rsid w:val="00AD2C44"/>
    <w:rsid w:val="00AE10C9"/>
    <w:rsid w:val="00AF1A59"/>
    <w:rsid w:val="00B021E6"/>
    <w:rsid w:val="00B13029"/>
    <w:rsid w:val="00B2390C"/>
    <w:rsid w:val="00B42D43"/>
    <w:rsid w:val="00B45E54"/>
    <w:rsid w:val="00B46C7B"/>
    <w:rsid w:val="00B4752E"/>
    <w:rsid w:val="00B54F55"/>
    <w:rsid w:val="00B57AC1"/>
    <w:rsid w:val="00B84E70"/>
    <w:rsid w:val="00B92D5D"/>
    <w:rsid w:val="00BA1CE6"/>
    <w:rsid w:val="00BA4D4E"/>
    <w:rsid w:val="00BB418F"/>
    <w:rsid w:val="00BC25AC"/>
    <w:rsid w:val="00BC7CB5"/>
    <w:rsid w:val="00BE0A13"/>
    <w:rsid w:val="00C21B76"/>
    <w:rsid w:val="00C21F95"/>
    <w:rsid w:val="00C56AAC"/>
    <w:rsid w:val="00C64007"/>
    <w:rsid w:val="00C64C85"/>
    <w:rsid w:val="00C76AA0"/>
    <w:rsid w:val="00C86A8D"/>
    <w:rsid w:val="00CB158D"/>
    <w:rsid w:val="00CC0885"/>
    <w:rsid w:val="00CD49E3"/>
    <w:rsid w:val="00CE458C"/>
    <w:rsid w:val="00CE4C75"/>
    <w:rsid w:val="00D23ED7"/>
    <w:rsid w:val="00D61791"/>
    <w:rsid w:val="00D6399C"/>
    <w:rsid w:val="00D645C5"/>
    <w:rsid w:val="00D65D2C"/>
    <w:rsid w:val="00D71727"/>
    <w:rsid w:val="00D82E3C"/>
    <w:rsid w:val="00D87FA8"/>
    <w:rsid w:val="00D91E6A"/>
    <w:rsid w:val="00DA2606"/>
    <w:rsid w:val="00E00B7E"/>
    <w:rsid w:val="00E56017"/>
    <w:rsid w:val="00E61DCB"/>
    <w:rsid w:val="00E66A5E"/>
    <w:rsid w:val="00E67DDA"/>
    <w:rsid w:val="00EE57F0"/>
    <w:rsid w:val="00EE64C6"/>
    <w:rsid w:val="00EF794E"/>
    <w:rsid w:val="00F03DAD"/>
    <w:rsid w:val="00F22C25"/>
    <w:rsid w:val="00F23955"/>
    <w:rsid w:val="00F26EE2"/>
    <w:rsid w:val="00F3378A"/>
    <w:rsid w:val="00F35DDC"/>
    <w:rsid w:val="00F52834"/>
    <w:rsid w:val="00F55DD7"/>
    <w:rsid w:val="00F67FAB"/>
    <w:rsid w:val="00F852E1"/>
    <w:rsid w:val="00F86D79"/>
    <w:rsid w:val="00FA490F"/>
    <w:rsid w:val="00FB4C77"/>
    <w:rsid w:val="00FC4C1F"/>
    <w:rsid w:val="00FF4524"/>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pPr>
      <w:spacing w:after="200" w:line="276" w:lineRule="auto"/>
    </w:pPr>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E0F11"/>
    <w:rPr>
      <w:rFonts w:ascii="Times New Roman" w:hAnsi="Times New Roman" w:cs="Times New Roman"/>
      <w:sz w:val="24"/>
      <w:szCs w:val="24"/>
      <w:lang w:val="en-GB"/>
    </w:rPr>
  </w:style>
  <w:style w:type="paragraph" w:styleId="Footer">
    <w:name w:val="footer"/>
    <w:basedOn w:val="Normal"/>
    <w:link w:val="FooterChar"/>
    <w:uiPriority w:val="99"/>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C087B"/>
    <w:rPr>
      <w:rFonts w:ascii="Times New Roman" w:hAnsi="Times New Roman" w:cs="Times New Roman"/>
      <w:sz w:val="24"/>
      <w:szCs w:val="24"/>
      <w:lang w:val="en-GB"/>
    </w:rPr>
  </w:style>
  <w:style w:type="paragraph" w:styleId="ListParagraph">
    <w:name w:val="List Paragraph"/>
    <w:basedOn w:val="Normal"/>
    <w:uiPriority w:val="99"/>
    <w:qFormat/>
    <w:rsid w:val="000E2289"/>
    <w:pPr>
      <w:ind w:left="720"/>
      <w:contextualSpacing/>
    </w:pPr>
  </w:style>
  <w:style w:type="paragraph" w:customStyle="1" w:styleId="NoSpacing1">
    <w:name w:val="No Spacing1"/>
    <w:uiPriority w:val="99"/>
    <w:rsid w:val="002A4AA5"/>
    <w:rPr>
      <w:rFonts w:ascii="Times New Roman" w:hAnsi="Times New Roman"/>
      <w:sz w:val="24"/>
      <w:szCs w:val="24"/>
      <w:lang w:val="en-GB" w:eastAsia="en-US"/>
    </w:rPr>
  </w:style>
  <w:style w:type="paragraph" w:styleId="BalloonText">
    <w:name w:val="Balloon Text"/>
    <w:basedOn w:val="Normal"/>
    <w:link w:val="BalloonTextChar"/>
    <w:uiPriority w:val="99"/>
    <w:semiHidden/>
    <w:rsid w:val="002A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AA5"/>
    <w:rPr>
      <w:rFonts w:ascii="Tahoma" w:hAnsi="Tahoma" w:cs="Tahoma"/>
      <w:sz w:val="16"/>
      <w:szCs w:val="16"/>
      <w:lang w:val="en-GB"/>
    </w:rPr>
  </w:style>
  <w:style w:type="table" w:styleId="TableGrid">
    <w:name w:val="Table Grid"/>
    <w:basedOn w:val="TableNormal"/>
    <w:uiPriority w:val="99"/>
    <w:rsid w:val="00F26E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D154F"/>
    <w:rPr>
      <w:rFonts w:cs="Times New Roman"/>
      <w:sz w:val="18"/>
      <w:szCs w:val="18"/>
    </w:rPr>
  </w:style>
  <w:style w:type="paragraph" w:styleId="CommentText">
    <w:name w:val="annotation text"/>
    <w:basedOn w:val="Normal"/>
    <w:link w:val="CommentTextChar"/>
    <w:uiPriority w:val="99"/>
    <w:semiHidden/>
    <w:rsid w:val="009D154F"/>
    <w:pPr>
      <w:spacing w:line="240" w:lineRule="auto"/>
    </w:pPr>
  </w:style>
  <w:style w:type="character" w:customStyle="1" w:styleId="CommentTextChar">
    <w:name w:val="Comment Text Char"/>
    <w:basedOn w:val="DefaultParagraphFont"/>
    <w:link w:val="CommentText"/>
    <w:uiPriority w:val="99"/>
    <w:semiHidden/>
    <w:locked/>
    <w:rsid w:val="009D154F"/>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rsid w:val="009D154F"/>
    <w:rPr>
      <w:b/>
      <w:bCs/>
      <w:sz w:val="20"/>
      <w:szCs w:val="20"/>
    </w:rPr>
  </w:style>
  <w:style w:type="character" w:customStyle="1" w:styleId="CommentSubjectChar">
    <w:name w:val="Comment Subject Char"/>
    <w:basedOn w:val="CommentTextChar"/>
    <w:link w:val="CommentSubject"/>
    <w:uiPriority w:val="99"/>
    <w:semiHidden/>
    <w:locked/>
    <w:rsid w:val="009D154F"/>
    <w:rPr>
      <w:b/>
      <w:bCs/>
      <w:sz w:val="20"/>
      <w:szCs w:val="20"/>
    </w:rPr>
  </w:style>
  <w:style w:type="paragraph" w:styleId="FootnoteText">
    <w:name w:val="footnote text"/>
    <w:basedOn w:val="Normal"/>
    <w:link w:val="FootnoteTextChar"/>
    <w:uiPriority w:val="99"/>
    <w:semiHidden/>
    <w:rsid w:val="001920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920A6"/>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1920A6"/>
    <w:rPr>
      <w:rFonts w:cs="Times New Roman"/>
      <w:vertAlign w:val="superscript"/>
    </w:rPr>
  </w:style>
  <w:style w:type="paragraph" w:styleId="Revision">
    <w:name w:val="Revision"/>
    <w:hidden/>
    <w:uiPriority w:val="99"/>
    <w:semiHidden/>
    <w:rsid w:val="00904830"/>
    <w:rPr>
      <w:rFonts w:ascii="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83017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960</Words>
  <Characters>5187</Characters>
  <Application>Microsoft Office Outlook</Application>
  <DocSecurity>0</DocSecurity>
  <Lines>0</Lines>
  <Paragraphs>0</Paragraphs>
  <ScaleCrop>false</ScaleCrop>
  <Company>FAO of the 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Working Group on</dc:title>
  <dc:subject/>
  <dc:creator>Acunzo, Mario (OPCA)</dc:creator>
  <cp:keywords/>
  <dc:description/>
  <cp:lastModifiedBy>MNE</cp:lastModifiedBy>
  <cp:revision>2</cp:revision>
  <cp:lastPrinted>2014-04-29T09:15:00Z</cp:lastPrinted>
  <dcterms:created xsi:type="dcterms:W3CDTF">2014-05-06T12:39:00Z</dcterms:created>
  <dcterms:modified xsi:type="dcterms:W3CDTF">2014-05-06T12:39:00Z</dcterms:modified>
</cp:coreProperties>
</file>